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94"/>
        <w:tblGridChange w:id="0">
          <w:tblGrid>
            <w:gridCol w:w="849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2f5496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Open Sans" w:cs="Open Sans" w:eastAsia="Open Sans" w:hAnsi="Open Sans"/>
                <w:b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360" w:lineRule="auto"/>
              <w:jc w:val="both"/>
              <w:rPr>
                <w:rFonts w:ascii="Open Sans" w:cs="Open Sans" w:eastAsia="Open Sans" w:hAnsi="Open Sans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ff"/>
                <w:sz w:val="26"/>
                <w:szCs w:val="26"/>
                <w:rtl w:val="0"/>
              </w:rPr>
              <w:t xml:space="preserve">E10.1.3</w:t>
            </w:r>
            <w:r w:rsidDel="00000000" w:rsidR="00000000" w:rsidRPr="00000000">
              <w:rPr>
                <w:rFonts w:ascii="Open Sans" w:cs="Open Sans" w:eastAsia="Open Sans" w:hAnsi="Open Sans"/>
                <w:color w:val="0000ff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26"/>
                <w:szCs w:val="26"/>
                <w:rtl w:val="0"/>
              </w:rPr>
              <w:t xml:space="preserve">Informe de cómo se están atendiendo las recomendaciones emitidas en el informe de evaluación final del sello  </w:t>
            </w:r>
          </w:p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f5496" w:space="0" w:sz="4" w:val="single"/>
              <w:left w:color="2f5496" w:space="0" w:sz="4" w:val="single"/>
              <w:bottom w:color="2f5496" w:space="0" w:sz="4" w:val="single"/>
              <w:right w:color="2f5496" w:space="0" w:sz="4" w:val="single"/>
            </w:tcBorders>
            <w:shd w:fill="2f5496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Open Sans" w:cs="Open Sans" w:eastAsia="Open Sans" w:hAnsi="Open Sans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Open Sans" w:cs="Open Sans" w:eastAsia="Open Sans" w:hAnsi="Open Sans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8"/>
                <w:szCs w:val="28"/>
                <w:rtl w:val="0"/>
              </w:rPr>
              <w:t xml:space="preserve">Renovación del Sello Internacional de Calidad del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Open Sans" w:cs="Open Sans" w:eastAsia="Open Sans" w:hAnsi="Open Sans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Open Sans" w:cs="Open Sans" w:eastAsia="Open Sans" w:hAnsi="Open Sans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8"/>
                <w:szCs w:val="28"/>
                <w:rtl w:val="0"/>
              </w:rPr>
              <w:t xml:space="preserve">Grado en Ingeniería Informática por la Universidad de Jaén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>
          <w:rFonts w:ascii="Open Sans" w:cs="Open Sans" w:eastAsia="Open Sans" w:hAnsi="Open San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El grado en Ingeniería Informática por la Universidad de Jaén fue evaluado para la obtención del sello Euro-Inf en la convocatoria correspondiente al curso académico 2018-2019, con informe final de evaluación fechado el 1 de febrero de 2019 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enlace al informe</w:t>
        </w:r>
      </w:hyperlink>
      <w:r w:rsidDel="00000000" w:rsidR="00000000" w:rsidRPr="00000000">
        <w:rPr>
          <w:rtl w:val="0"/>
        </w:rPr>
        <w:t xml:space="preserve">). En dicho informe se otorgaba el sello sin prescripciones ni recomendaciones, por lo que no ha sido necesario plantear acciones de mejora a este respecto.</w:t>
      </w:r>
    </w:p>
    <w:p w:rsidR="00000000" w:rsidDel="00000000" w:rsidP="00000000" w:rsidRDefault="00000000" w:rsidRPr="00000000" w14:paraId="00000012">
      <w:pPr>
        <w:spacing w:after="20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.3228346456694" w:top="1700.7874015748032" w:left="1700.7874015748032" w:right="1700.7874015748032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3177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079047" cy="690087"/>
          <wp:effectExtent b="0" l="0" r="0" t="0"/>
          <wp:docPr descr="Logotipo, nombre de la empresa&#10;&#10;Descripción generada automáticamente" id="1" name="image1.png"/>
          <a:graphic>
            <a:graphicData uri="http://schemas.openxmlformats.org/drawingml/2006/picture">
              <pic:pic>
                <pic:nvPicPr>
                  <pic:cNvPr descr="Logotipo, nombre de la empresa&#10;&#10;Descripción generada automá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9047" cy="6900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838200" cy="457200"/>
          <wp:effectExtent b="0" l="0" r="0" t="0"/>
          <wp:docPr descr="Descripción: X:\Unidad de evaluación de enseñanzas e instituciones\ACREDITA PLUS-SIC\1. BASE DE DATOS SIC_AC-SIC\Logos_y_firmas escaneadas\SIC\Nuevos\SIC_Pastilla_Color_RGB.png" id="2" name="image2.png"/>
          <a:graphic>
            <a:graphicData uri="http://schemas.openxmlformats.org/drawingml/2006/picture">
              <pic:pic>
                <pic:nvPicPr>
                  <pic:cNvPr descr="Descripción: X:\Unidad de evaluación de enseñanzas e instituciones\ACREDITA PLUS-SIC\1. BASE DE DATOS SIC_AC-SIC\Logos_y_firmas escaneadas\SIC\Nuevos\SIC_Pastilla_Color_RGB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38200" cy="457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7akh-L2oFHIk0UlIU1-o7zbr7KZ32IKZ/view?usp=sharing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